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8F5787" w:rsidRDefault="007E0C98" w:rsidP="007E0C98"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F5787">
              <w:rPr>
                <w:lang w:val="sr-Cyrl-RS"/>
              </w:rPr>
              <w:t>5</w:t>
            </w:r>
            <w:r w:rsidR="008F5787">
              <w:t>0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0B4A6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Механички рад и енергија. Снага.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26400F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Снага. Коефицијент корисног дејства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26400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4301A" w:rsidRPr="0066602A" w:rsidRDefault="005E7E29" w:rsidP="001623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</w:t>
            </w:r>
            <w:r w:rsidR="00E11ED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 уч</w:t>
            </w:r>
            <w:r w:rsidR="0016236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еници разумеју </w:t>
            </w:r>
            <w:r w:rsidR="000B4A6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шта је то механички рад</w:t>
            </w:r>
            <w:r w:rsidR="0066602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,</w:t>
            </w:r>
          </w:p>
          <w:p w:rsidR="0066602A" w:rsidRPr="0016236C" w:rsidRDefault="0066602A" w:rsidP="001623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да се ученици упознају са механичким радом као скаларном физичком величином која може да буде позитивна и негативна,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14175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дефинишу механички рад,</w:t>
            </w:r>
          </w:p>
          <w:p w:rsidR="000B4A67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знају мерну јединицу за механички рад,</w:t>
            </w:r>
          </w:p>
          <w:p w:rsidR="000B4A67" w:rsidRPr="005B30C9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препознају када је механички рад позитиван а када негативан.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4431AD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4431AD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8F5787" w:rsidRDefault="008F5787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Динамометар, да идентична дрвена квадра са кукицама, дрвена подлога, метарска трака и оловка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E4B1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07507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66602A">
              <w:rPr>
                <w:lang w:val="sr-Cyrl-RS"/>
              </w:rPr>
              <w:t xml:space="preserve"> 91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893586">
              <w:rPr>
                <w:lang w:val="sr-Cyrl-RS"/>
              </w:rPr>
              <w:t xml:space="preserve"> реализације </w:t>
            </w:r>
            <w:r w:rsidR="00A81897">
              <w:rPr>
                <w:lang w:val="sr-Cyrl-RS"/>
              </w:rPr>
              <w:t>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9F415B" w:rsidRDefault="009F415B" w:rsidP="009F415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5C2D6B">
              <w:rPr>
                <w:lang w:val="sr-Cyrl-RS"/>
              </w:rPr>
              <w:t>д</w:t>
            </w:r>
            <w:r>
              <w:rPr>
                <w:lang w:val="sr-Cyrl-RS"/>
              </w:rPr>
              <w:t>ставници сваке групе излажу своја запажања која је група уочила током извођења демонстрационог огледа.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171477" w:rsidRDefault="009F415B" w:rsidP="009F415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решавају </w:t>
            </w:r>
            <w:r w:rsidR="00171477">
              <w:rPr>
                <w:lang w:val="sr-Cyrl-RS"/>
              </w:rPr>
              <w:t>следеће задатке:</w:t>
            </w:r>
          </w:p>
          <w:p w:rsidR="00171477" w:rsidRPr="00E70390" w:rsidRDefault="00D4041C" w:rsidP="00171477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 </w:t>
            </w:r>
            <w:r w:rsidR="009F415B">
              <w:rPr>
                <w:lang w:val="sr-Cyrl-RS"/>
              </w:rPr>
              <w:t xml:space="preserve"> </w:t>
            </w:r>
            <w:r w:rsidR="00171477" w:rsidRPr="00E70390">
              <w:rPr>
                <w:lang w:val="sr-Cyrl-RS"/>
              </w:rPr>
              <w:t xml:space="preserve">Вучна сила малог путничког аутомобила је 800 </w:t>
            </w:r>
            <w:r w:rsidR="00171477" w:rsidRPr="00E70390">
              <w:rPr>
                <w:rFonts w:cstheme="minorHAnsi"/>
                <w:lang w:val="sr-Cyrl-RS"/>
              </w:rPr>
              <w:t>N</w:t>
            </w:r>
            <w:r w:rsidR="00171477" w:rsidRPr="00E70390">
              <w:rPr>
                <w:lang w:val="sr-Cyrl-RS"/>
              </w:rPr>
              <w:t xml:space="preserve">. Колики ће рад извршити ако аутомобил под деловањем те силе пређе 8 </w:t>
            </w:r>
            <w:r w:rsidR="00171477" w:rsidRPr="00E70390">
              <w:rPr>
                <w:rFonts w:cstheme="minorHAnsi"/>
                <w:lang w:val="sr-Cyrl-RS"/>
              </w:rPr>
              <w:t>km</w:t>
            </w:r>
            <w:r w:rsidR="00171477" w:rsidRPr="00E70390">
              <w:rPr>
                <w:lang w:val="sr-Cyrl-RS"/>
              </w:rPr>
              <w:t>?</w:t>
            </w:r>
          </w:p>
          <w:p w:rsidR="00171477" w:rsidRPr="00E70390" w:rsidRDefault="00171477" w:rsidP="00171477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eastAsiaTheme="minorEastAsia" w:cstheme="minorHAnsi"/>
                <w:lang w:val="sr-Cyrl-RS"/>
              </w:rPr>
            </w:pPr>
            <w:r w:rsidRPr="00E70390">
              <w:rPr>
                <w:rFonts w:eastAsiaTheme="minorEastAsia" w:cstheme="minorHAnsi"/>
                <w:lang w:val="sr-Cyrl-RS"/>
              </w:rPr>
              <w:t>Ако на тело делује сила од 10</w:t>
            </w:r>
            <w:r w:rsidRPr="00E70390">
              <w:rPr>
                <w:rFonts w:eastAsiaTheme="minorEastAsia" w:cstheme="minorHAnsi"/>
                <w:lang w:val="sr-Latn-RS"/>
              </w:rPr>
              <w:t xml:space="preserve"> N </w:t>
            </w:r>
            <w:r w:rsidRPr="00E70390">
              <w:rPr>
                <w:rFonts w:eastAsiaTheme="minorEastAsia" w:cstheme="minorHAnsi"/>
                <w:lang w:val="sr-Cyrl-RS"/>
              </w:rPr>
              <w:t>у правцу и смеру његовог кретања она над њим изврши механички рад од 40 J. Колики је тело тада прешло пут?</w:t>
            </w:r>
          </w:p>
          <w:p w:rsidR="00171477" w:rsidRPr="00E70390" w:rsidRDefault="00171477" w:rsidP="00171477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 xml:space="preserve">На квадар који леђи на глаткој хоринзонталној подлози почне да делује сила од 15 </w:t>
            </w:r>
            <w:r>
              <w:rPr>
                <w:rFonts w:eastAsiaTheme="minorEastAsia" w:cstheme="minorHAnsi"/>
                <w:lang w:val="sr-Cyrl-RS"/>
              </w:rPr>
              <w:t>N</w:t>
            </w:r>
            <w:r>
              <w:rPr>
                <w:rFonts w:eastAsiaTheme="minorEastAsia"/>
                <w:lang w:val="sr-Cyrl-RS"/>
              </w:rPr>
              <w:t xml:space="preserve"> под углом од 30</w:t>
            </w:r>
            <w:r>
              <w:rPr>
                <w:rFonts w:eastAsiaTheme="minorEastAsia" w:cstheme="minorHAnsi"/>
                <w:lang w:val="sr-Cyrl-RS"/>
              </w:rPr>
              <w:t>° у односу на подлогу. Колики рад изврши та сила ако под њеним деловањем тело пређе пут од 4 m?</w:t>
            </w:r>
          </w:p>
          <w:p w:rsidR="009F415B" w:rsidRDefault="009F415B" w:rsidP="009F415B">
            <w:pPr>
              <w:jc w:val="both"/>
              <w:rPr>
                <w:lang w:val="sr-Cyrl-RS"/>
              </w:rPr>
            </w:pPr>
          </w:p>
          <w:p w:rsidR="003D0B8A" w:rsidRPr="009F0524" w:rsidRDefault="003D0B8A" w:rsidP="003D0B8A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Ученици током часа у оквиру групе засебно раде проблемске  задатке, међусобно разговарају, дискутују, размењују искуства, међусобно се помажу. </w:t>
            </w:r>
          </w:p>
          <w:p w:rsidR="003D0B8A" w:rsidRDefault="003D0B8A" w:rsidP="003D0B8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задатака.</w:t>
            </w:r>
          </w:p>
          <w:p w:rsidR="0066602A" w:rsidRPr="0066602A" w:rsidRDefault="0066602A" w:rsidP="006660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DE4B16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Завршни део часа ( 10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3D0B8A" w:rsidRDefault="003D0B8A" w:rsidP="003D0B8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 са ученицима коментарише задатке које су ученици радили током часа. Уводи ученике у следећу наставну јединицу.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CF5963"/>
    <w:multiLevelType w:val="hybridMultilevel"/>
    <w:tmpl w:val="8F505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075076"/>
    <w:rsid w:val="000B4A67"/>
    <w:rsid w:val="000D05C8"/>
    <w:rsid w:val="00106FDE"/>
    <w:rsid w:val="0016236C"/>
    <w:rsid w:val="00171477"/>
    <w:rsid w:val="00196F0B"/>
    <w:rsid w:val="00206CC4"/>
    <w:rsid w:val="00224942"/>
    <w:rsid w:val="002256EA"/>
    <w:rsid w:val="00246989"/>
    <w:rsid w:val="0026400F"/>
    <w:rsid w:val="00284BD2"/>
    <w:rsid w:val="002D7ADC"/>
    <w:rsid w:val="00331335"/>
    <w:rsid w:val="003D0B8A"/>
    <w:rsid w:val="004431AD"/>
    <w:rsid w:val="004B4B7E"/>
    <w:rsid w:val="00521BFC"/>
    <w:rsid w:val="00591358"/>
    <w:rsid w:val="005B30C9"/>
    <w:rsid w:val="005B35D3"/>
    <w:rsid w:val="005C2D6B"/>
    <w:rsid w:val="005E7E29"/>
    <w:rsid w:val="00654812"/>
    <w:rsid w:val="0066602A"/>
    <w:rsid w:val="006D16AC"/>
    <w:rsid w:val="007804CD"/>
    <w:rsid w:val="007B6B2E"/>
    <w:rsid w:val="007E0C98"/>
    <w:rsid w:val="008213B1"/>
    <w:rsid w:val="0083509C"/>
    <w:rsid w:val="00836B40"/>
    <w:rsid w:val="00883E2B"/>
    <w:rsid w:val="00893586"/>
    <w:rsid w:val="008F5787"/>
    <w:rsid w:val="00932AC9"/>
    <w:rsid w:val="00956FF8"/>
    <w:rsid w:val="009E07F4"/>
    <w:rsid w:val="009F415B"/>
    <w:rsid w:val="00A81897"/>
    <w:rsid w:val="00B0766A"/>
    <w:rsid w:val="00B24AAF"/>
    <w:rsid w:val="00B43256"/>
    <w:rsid w:val="00B816AA"/>
    <w:rsid w:val="00BB27D3"/>
    <w:rsid w:val="00C7291F"/>
    <w:rsid w:val="00D349B0"/>
    <w:rsid w:val="00D37F65"/>
    <w:rsid w:val="00D4041C"/>
    <w:rsid w:val="00D4301A"/>
    <w:rsid w:val="00D74272"/>
    <w:rsid w:val="00D77B1E"/>
    <w:rsid w:val="00DA2FB4"/>
    <w:rsid w:val="00DE4B16"/>
    <w:rsid w:val="00E113E7"/>
    <w:rsid w:val="00E11EDC"/>
    <w:rsid w:val="00E14175"/>
    <w:rsid w:val="00E35BC7"/>
    <w:rsid w:val="00E4769C"/>
    <w:rsid w:val="00E92BFA"/>
    <w:rsid w:val="00E93A3D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B5E9E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8</cp:revision>
  <dcterms:created xsi:type="dcterms:W3CDTF">2025-06-07T18:39:00Z</dcterms:created>
  <dcterms:modified xsi:type="dcterms:W3CDTF">2025-06-11T16:53:00Z</dcterms:modified>
</cp:coreProperties>
</file>